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549" w:rsidRPr="00476235" w:rsidRDefault="00063549" w:rsidP="00476235">
      <w:pPr>
        <w:jc w:val="both"/>
        <w:rPr>
          <w:rFonts w:ascii="Verdana" w:hAnsi="Verdana"/>
          <w:sz w:val="20"/>
          <w:szCs w:val="20"/>
          <w:lang w:val="en-US"/>
        </w:rPr>
      </w:pPr>
      <w:bookmarkStart w:id="0" w:name="_GoBack"/>
      <w:bookmarkEnd w:id="0"/>
    </w:p>
    <w:p w:rsidR="00475DF3" w:rsidRPr="00476235" w:rsidRDefault="00475DF3" w:rsidP="00476235">
      <w:pPr>
        <w:jc w:val="both"/>
        <w:rPr>
          <w:rFonts w:ascii="Verdana" w:hAnsi="Verdana"/>
          <w:sz w:val="20"/>
          <w:szCs w:val="20"/>
        </w:rPr>
      </w:pPr>
    </w:p>
    <w:p w:rsidR="00475DF3" w:rsidRPr="00D11C8C" w:rsidRDefault="00475DF3" w:rsidP="00476235">
      <w:pPr>
        <w:jc w:val="both"/>
        <w:rPr>
          <w:rFonts w:ascii="Verdana" w:hAnsi="Verdana"/>
          <w:b/>
          <w:sz w:val="20"/>
          <w:szCs w:val="20"/>
          <w:lang w:val="en-US"/>
        </w:rPr>
      </w:pPr>
      <w:r w:rsidRPr="00476235">
        <w:rPr>
          <w:rFonts w:ascii="Verdana" w:hAnsi="Verdana"/>
          <w:b/>
          <w:sz w:val="20"/>
          <w:szCs w:val="20"/>
        </w:rPr>
        <w:t xml:space="preserve">Critical </w:t>
      </w:r>
      <w:smartTag w:uri="urn:schemas-microsoft-com:office:smarttags" w:element="City">
        <w:smartTag w:uri="urn:schemas-microsoft-com:office:smarttags" w:element="place">
          <w:r w:rsidRPr="00476235">
            <w:rPr>
              <w:rFonts w:ascii="Verdana" w:hAnsi="Verdana"/>
              <w:b/>
              <w:sz w:val="20"/>
              <w:szCs w:val="20"/>
            </w:rPr>
            <w:t>Reading</w:t>
          </w:r>
        </w:smartTag>
      </w:smartTag>
      <w:r w:rsidR="00476235" w:rsidRPr="00476235">
        <w:rPr>
          <w:rFonts w:ascii="Verdana" w:hAnsi="Verdana"/>
          <w:b/>
          <w:sz w:val="20"/>
          <w:szCs w:val="20"/>
        </w:rPr>
        <w:t xml:space="preserve"> of Text</w:t>
      </w:r>
    </w:p>
    <w:p w:rsidR="00476235" w:rsidRPr="00476235" w:rsidRDefault="00EA42FC" w:rsidP="00476235">
      <w:pPr>
        <w:jc w:val="both"/>
        <w:rPr>
          <w:rFonts w:ascii="Verdana" w:hAnsi="Verdana" w:cs="Arial"/>
          <w:bCs/>
          <w:color w:val="000000"/>
          <w:sz w:val="20"/>
          <w:szCs w:val="20"/>
          <w:lang w:val="en-US"/>
        </w:rPr>
      </w:pPr>
      <w:r>
        <w:rPr>
          <w:rFonts w:ascii="Verdana" w:hAnsi="Verdana"/>
          <w:bCs/>
          <w:sz w:val="20"/>
          <w:szCs w:val="20"/>
        </w:rPr>
        <w:t xml:space="preserve">Dr. </w:t>
      </w:r>
      <w:r w:rsidR="00476235" w:rsidRPr="00476235">
        <w:rPr>
          <w:rFonts w:ascii="Verdana" w:hAnsi="Verdana"/>
          <w:bCs/>
          <w:sz w:val="20"/>
          <w:szCs w:val="20"/>
        </w:rPr>
        <w:t xml:space="preserve">Nurcan </w:t>
      </w:r>
      <w:r w:rsidR="00476235" w:rsidRPr="00476235">
        <w:rPr>
          <w:rFonts w:ascii="Verdana" w:hAnsi="Verdana" w:cs="Arial"/>
          <w:bCs/>
          <w:color w:val="000000"/>
          <w:sz w:val="20"/>
          <w:szCs w:val="20"/>
        </w:rPr>
        <w:t>Köse</w:t>
      </w:r>
    </w:p>
    <w:p w:rsidR="00475DF3" w:rsidRPr="00476235" w:rsidRDefault="00475DF3" w:rsidP="00476235">
      <w:pPr>
        <w:jc w:val="both"/>
        <w:rPr>
          <w:rFonts w:ascii="Verdana" w:hAnsi="Verdana"/>
          <w:b/>
          <w:sz w:val="20"/>
          <w:szCs w:val="20"/>
        </w:rPr>
      </w:pPr>
    </w:p>
    <w:p w:rsidR="00476235" w:rsidRDefault="00476235" w:rsidP="00476235">
      <w:pPr>
        <w:jc w:val="both"/>
        <w:rPr>
          <w:rFonts w:ascii="Verdana" w:hAnsi="Verdana"/>
          <w:sz w:val="20"/>
          <w:szCs w:val="20"/>
        </w:rPr>
      </w:pPr>
    </w:p>
    <w:p w:rsidR="00475DF3" w:rsidRPr="00476235" w:rsidRDefault="00475DF3" w:rsidP="00476235">
      <w:pPr>
        <w:jc w:val="both"/>
        <w:rPr>
          <w:rFonts w:ascii="Verdana" w:hAnsi="Verdana"/>
          <w:sz w:val="20"/>
          <w:szCs w:val="20"/>
        </w:rPr>
      </w:pPr>
      <w:r w:rsidRPr="00476235">
        <w:rPr>
          <w:rFonts w:ascii="Verdana" w:hAnsi="Verdana"/>
          <w:sz w:val="20"/>
          <w:szCs w:val="20"/>
        </w:rPr>
        <w:t xml:space="preserve">If students care to get the most out of the materials they are assigned, they have to learn to read critically or analytically. To be able to do these, they have to classify a debate into its basic parts, revise its major stages and turns, judge on its strengths, weaknesses, evaluate its reliability, and understand its empirical, moral, theoretical implications. </w:t>
      </w:r>
    </w:p>
    <w:p w:rsidR="00475DF3" w:rsidRPr="00476235" w:rsidRDefault="00475DF3" w:rsidP="00476235">
      <w:pPr>
        <w:jc w:val="both"/>
        <w:rPr>
          <w:rFonts w:ascii="Verdana" w:hAnsi="Verdana"/>
          <w:sz w:val="20"/>
          <w:szCs w:val="20"/>
        </w:rPr>
      </w:pPr>
    </w:p>
    <w:p w:rsidR="00475DF3" w:rsidRPr="00476235" w:rsidRDefault="00475DF3" w:rsidP="00476235">
      <w:pPr>
        <w:jc w:val="both"/>
        <w:rPr>
          <w:rFonts w:ascii="Verdana" w:hAnsi="Verdana"/>
          <w:sz w:val="20"/>
          <w:szCs w:val="20"/>
        </w:rPr>
      </w:pPr>
      <w:r w:rsidRPr="00476235">
        <w:rPr>
          <w:rFonts w:ascii="Verdana" w:hAnsi="Verdana"/>
          <w:sz w:val="20"/>
          <w:szCs w:val="20"/>
        </w:rPr>
        <w:t xml:space="preserve">Critical reading according to Harris and Hodges (1981) is the process of making judgments in reading, in other words, criticizing the relevancy and adequacy of what is read. Similarly, Thistlewhaite (1990, p.587) states that </w:t>
      </w:r>
    </w:p>
    <w:p w:rsidR="00475DF3" w:rsidRPr="00476235" w:rsidRDefault="00475DF3" w:rsidP="00476235">
      <w:pPr>
        <w:jc w:val="both"/>
        <w:rPr>
          <w:rFonts w:ascii="Verdana" w:hAnsi="Verdana"/>
          <w:sz w:val="20"/>
          <w:szCs w:val="20"/>
        </w:rPr>
      </w:pPr>
    </w:p>
    <w:p w:rsidR="00475DF3" w:rsidRPr="00476235" w:rsidRDefault="00475DF3" w:rsidP="00476235">
      <w:pPr>
        <w:ind w:left="709" w:right="1304"/>
        <w:jc w:val="both"/>
        <w:rPr>
          <w:rFonts w:ascii="Verdana" w:hAnsi="Verdana"/>
          <w:sz w:val="20"/>
          <w:szCs w:val="20"/>
        </w:rPr>
      </w:pPr>
      <w:r w:rsidRPr="00476235">
        <w:rPr>
          <w:rFonts w:ascii="Verdana" w:hAnsi="Verdana"/>
          <w:sz w:val="20"/>
          <w:szCs w:val="20"/>
        </w:rPr>
        <w:t>in critical reading, readers evaluate what they have read and make a decision. This decision may be to accept what the writer has said, to disagree with it or to realise that additional information is necessary before an informed judgment can be made.</w:t>
      </w:r>
    </w:p>
    <w:p w:rsidR="00475DF3" w:rsidRPr="00476235" w:rsidRDefault="00475DF3" w:rsidP="00476235">
      <w:pPr>
        <w:jc w:val="both"/>
        <w:rPr>
          <w:rFonts w:ascii="Verdana" w:hAnsi="Verdana"/>
          <w:sz w:val="20"/>
          <w:szCs w:val="20"/>
        </w:rPr>
      </w:pPr>
    </w:p>
    <w:p w:rsidR="00475DF3" w:rsidRPr="00476235" w:rsidRDefault="00475DF3" w:rsidP="00476235">
      <w:pPr>
        <w:jc w:val="both"/>
        <w:rPr>
          <w:rFonts w:ascii="Verdana" w:hAnsi="Verdana"/>
          <w:sz w:val="20"/>
          <w:szCs w:val="20"/>
        </w:rPr>
      </w:pPr>
      <w:r w:rsidRPr="00476235">
        <w:rPr>
          <w:rFonts w:ascii="Verdana" w:hAnsi="Verdana"/>
          <w:sz w:val="20"/>
          <w:szCs w:val="20"/>
        </w:rPr>
        <w:t>The idea here is that when we read something, the purpose is to try to understand what the author’s intention is, if there is a problem posted, then identifying what that problem is, and how the problem can be solved.</w:t>
      </w:r>
    </w:p>
    <w:p w:rsidR="00475DF3" w:rsidRPr="00476235" w:rsidRDefault="00475DF3" w:rsidP="00476235">
      <w:pPr>
        <w:jc w:val="both"/>
        <w:rPr>
          <w:rFonts w:ascii="Verdana" w:hAnsi="Verdana"/>
          <w:sz w:val="20"/>
          <w:szCs w:val="20"/>
        </w:rPr>
      </w:pPr>
    </w:p>
    <w:p w:rsidR="00475DF3" w:rsidRPr="00476235" w:rsidRDefault="00475DF3" w:rsidP="00476235">
      <w:pPr>
        <w:jc w:val="both"/>
        <w:rPr>
          <w:rFonts w:ascii="Verdana" w:hAnsi="Verdana"/>
          <w:sz w:val="20"/>
          <w:szCs w:val="20"/>
        </w:rPr>
      </w:pPr>
      <w:r w:rsidRPr="00476235">
        <w:rPr>
          <w:rFonts w:ascii="Verdana" w:hAnsi="Verdana"/>
          <w:sz w:val="20"/>
          <w:szCs w:val="20"/>
        </w:rPr>
        <w:t>When dealing with critical reading, we encounter two layers of reality: one that we can see and one that we cannot see. People, when decoding the text, see one of the layers yet, they are oppressed by another invisible layer. Therefore, the purpose of reading is to make the invisible layer, the underlying meaning, visible and clear.  This can be done with the help of using Bloom’s Revised Taxonomy:</w:t>
      </w:r>
    </w:p>
    <w:p w:rsidR="00475DF3" w:rsidRPr="00476235" w:rsidRDefault="00475DF3" w:rsidP="00476235">
      <w:pPr>
        <w:jc w:val="both"/>
        <w:rPr>
          <w:rFonts w:ascii="Verdana" w:hAnsi="Verdana"/>
          <w:sz w:val="20"/>
          <w:szCs w:val="20"/>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425"/>
        <w:gridCol w:w="4425"/>
      </w:tblGrid>
      <w:tr w:rsidR="00475DF3" w:rsidRPr="00476235">
        <w:trPr>
          <w:tblCellSpacing w:w="0" w:type="dxa"/>
        </w:trPr>
        <w:tc>
          <w:tcPr>
            <w:tcW w:w="4425" w:type="dxa"/>
            <w:tcBorders>
              <w:top w:val="outset" w:sz="6" w:space="0" w:color="auto"/>
              <w:left w:val="outset" w:sz="6" w:space="0" w:color="auto"/>
              <w:bottom w:val="outset" w:sz="6" w:space="0" w:color="auto"/>
              <w:right w:val="outset" w:sz="6" w:space="0" w:color="auto"/>
            </w:tcBorders>
          </w:tcPr>
          <w:p w:rsidR="00475DF3" w:rsidRPr="00476235" w:rsidRDefault="00543404" w:rsidP="00476235">
            <w:pPr>
              <w:pStyle w:val="NormalWeb"/>
              <w:spacing w:before="0" w:beforeAutospacing="0" w:after="0" w:afterAutospacing="0"/>
              <w:jc w:val="both"/>
              <w:rPr>
                <w:rFonts w:ascii="Verdana" w:hAnsi="Verdana"/>
                <w:sz w:val="20"/>
                <w:szCs w:val="20"/>
              </w:rPr>
            </w:pPr>
            <w:r>
              <w:rPr>
                <w:rFonts w:ascii="Verdana" w:hAnsi="Verdana"/>
                <w:noProof/>
                <w:sz w:val="20"/>
                <w:szCs w:val="20"/>
                <w:lang w:val="bg-BG" w:eastAsia="zh-CN"/>
              </w:rPr>
              <w:drawing>
                <wp:inline distT="0" distB="0" distL="0" distR="0">
                  <wp:extent cx="2674620" cy="2369820"/>
                  <wp:effectExtent l="0" t="0" r="0" b="0"/>
                  <wp:docPr id="1" name="Picture 1" descr="bloom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omold"/>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2674620" cy="2369820"/>
                          </a:xfrm>
                          <a:prstGeom prst="rect">
                            <a:avLst/>
                          </a:prstGeom>
                          <a:noFill/>
                          <a:ln>
                            <a:noFill/>
                          </a:ln>
                        </pic:spPr>
                      </pic:pic>
                    </a:graphicData>
                  </a:graphic>
                </wp:inline>
              </w:drawing>
            </w: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bCs/>
                <w:sz w:val="20"/>
                <w:szCs w:val="20"/>
              </w:rPr>
              <w:t>Old Version</w:t>
            </w:r>
          </w:p>
        </w:tc>
        <w:tc>
          <w:tcPr>
            <w:tcW w:w="4425" w:type="dxa"/>
            <w:tcBorders>
              <w:top w:val="outset" w:sz="6" w:space="0" w:color="auto"/>
              <w:left w:val="outset" w:sz="6" w:space="0" w:color="auto"/>
              <w:bottom w:val="outset" w:sz="6" w:space="0" w:color="auto"/>
              <w:right w:val="outset" w:sz="6" w:space="0" w:color="auto"/>
            </w:tcBorders>
          </w:tcPr>
          <w:p w:rsidR="00475DF3" w:rsidRPr="00476235" w:rsidRDefault="00543404" w:rsidP="00476235">
            <w:pPr>
              <w:pStyle w:val="NormalWeb"/>
              <w:spacing w:before="0" w:beforeAutospacing="0" w:after="0" w:afterAutospacing="0"/>
              <w:jc w:val="both"/>
              <w:rPr>
                <w:rFonts w:ascii="Verdana" w:hAnsi="Verdana"/>
                <w:sz w:val="20"/>
                <w:szCs w:val="20"/>
              </w:rPr>
            </w:pPr>
            <w:r>
              <w:rPr>
                <w:rFonts w:ascii="Verdana" w:hAnsi="Verdana"/>
                <w:noProof/>
                <w:sz w:val="20"/>
                <w:szCs w:val="20"/>
                <w:lang w:val="bg-BG" w:eastAsia="zh-CN"/>
              </w:rPr>
              <w:drawing>
                <wp:inline distT="0" distB="0" distL="0" distR="0">
                  <wp:extent cx="2674620" cy="2369820"/>
                  <wp:effectExtent l="0" t="0" r="0" b="0"/>
                  <wp:docPr id="2" name="Picture 2" descr="bloom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omnew"/>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2674620" cy="2369820"/>
                          </a:xfrm>
                          <a:prstGeom prst="rect">
                            <a:avLst/>
                          </a:prstGeom>
                          <a:noFill/>
                          <a:ln>
                            <a:noFill/>
                          </a:ln>
                        </pic:spPr>
                      </pic:pic>
                    </a:graphicData>
                  </a:graphic>
                </wp:inline>
              </w:drawing>
            </w: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bCs/>
                <w:sz w:val="20"/>
                <w:szCs w:val="20"/>
              </w:rPr>
              <w:t>New Version</w:t>
            </w:r>
          </w:p>
        </w:tc>
      </w:tr>
    </w:tbl>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sz w:val="20"/>
          <w:szCs w:val="20"/>
        </w:rPr>
        <w:t xml:space="preserve">Figure </w:t>
      </w:r>
      <w:r w:rsidR="00FB0FEE" w:rsidRPr="00476235">
        <w:rPr>
          <w:rFonts w:ascii="Verdana" w:hAnsi="Verdana"/>
          <w:b/>
          <w:sz w:val="20"/>
          <w:szCs w:val="20"/>
        </w:rPr>
        <w:t>1.</w:t>
      </w:r>
      <w:r w:rsidRPr="00476235">
        <w:rPr>
          <w:rFonts w:ascii="Verdana" w:hAnsi="Verdana"/>
          <w:sz w:val="20"/>
          <w:szCs w:val="20"/>
        </w:rPr>
        <w:t xml:space="preserve"> </w:t>
      </w:r>
      <w:r w:rsidRPr="00476235">
        <w:rPr>
          <w:rFonts w:ascii="Verdana" w:hAnsi="Verdana"/>
          <w:b/>
          <w:sz w:val="20"/>
          <w:szCs w:val="20"/>
        </w:rPr>
        <w:t>Old and New Version of Bloom’s Taxonomy</w:t>
      </w:r>
      <w:r w:rsidRPr="00476235">
        <w:rPr>
          <w:rFonts w:ascii="Verdana" w:hAnsi="Verdana"/>
          <w:sz w:val="20"/>
          <w:szCs w:val="20"/>
        </w:rPr>
        <w:t xml:space="preserve"> </w:t>
      </w: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sz w:val="20"/>
          <w:szCs w:val="20"/>
        </w:rPr>
        <w:t xml:space="preserve">Source: </w:t>
      </w:r>
      <w:hyperlink r:id="rId7" w:history="1">
        <w:r w:rsidRPr="00476235">
          <w:rPr>
            <w:rStyle w:val="Hyperlink"/>
            <w:rFonts w:ascii="Verdana" w:hAnsi="Verdana"/>
            <w:sz w:val="20"/>
            <w:szCs w:val="20"/>
          </w:rPr>
          <w:t>http://web.odu.edu/educ/llschult/blooms_taxonomy.htm</w:t>
        </w:r>
      </w:hyperlink>
    </w:p>
    <w:p w:rsidR="00476235" w:rsidRDefault="00476235" w:rsidP="00476235">
      <w:pPr>
        <w:pStyle w:val="NormalWeb"/>
        <w:spacing w:before="0" w:beforeAutospacing="0" w:after="0" w:afterAutospacing="0"/>
        <w:jc w:val="both"/>
        <w:rPr>
          <w:rFonts w:ascii="Verdana" w:hAnsi="Verdana"/>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sz w:val="20"/>
          <w:szCs w:val="20"/>
        </w:rPr>
        <w:t xml:space="preserve">The reason for displaying both the old and the revised version of Bloom’s taxonomy is to show how a more temporary thinking was reflected. In Bloom’s original taxonomy the six categories were nouns whereas Anderson and Krathwohl (2001) changed these into verbs to show that thinking is an active process. </w:t>
      </w:r>
    </w:p>
    <w:p w:rsidR="00476235" w:rsidRDefault="00476235" w:rsidP="00476235">
      <w:pPr>
        <w:pStyle w:val="NormalWeb"/>
        <w:spacing w:before="0" w:beforeAutospacing="0" w:after="0" w:afterAutospacing="0"/>
        <w:jc w:val="both"/>
        <w:rPr>
          <w:rFonts w:ascii="Verdana" w:hAnsi="Verdana"/>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sz w:val="20"/>
          <w:szCs w:val="20"/>
        </w:rPr>
        <w:t>Tankersley (2005) explains the six revised categories in relation to reading skills:</w:t>
      </w: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lastRenderedPageBreak/>
        <w:t>Remembering</w:t>
      </w:r>
      <w:r w:rsidRPr="00476235">
        <w:rPr>
          <w:rFonts w:ascii="Verdana" w:hAnsi="Verdana"/>
          <w:sz w:val="20"/>
          <w:szCs w:val="20"/>
        </w:rPr>
        <w:t xml:space="preserve"> is the category used for “shallow processing”. Shallow processing refers to finding out factual answers, recalling, or recognition.  In the reading skills this is known as finding out the answers to factual questions or recalling the text.</w:t>
      </w:r>
    </w:p>
    <w:p w:rsidR="00476235" w:rsidRDefault="00476235" w:rsidP="00476235">
      <w:pPr>
        <w:pStyle w:val="NormalWeb"/>
        <w:spacing w:before="0" w:beforeAutospacing="0" w:after="0" w:afterAutospacing="0"/>
        <w:jc w:val="both"/>
        <w:rPr>
          <w:rFonts w:ascii="Verdana" w:hAnsi="Verdana"/>
          <w:b/>
          <w:i/>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t xml:space="preserve">Understanding, </w:t>
      </w:r>
      <w:r w:rsidRPr="00476235">
        <w:rPr>
          <w:rFonts w:ascii="Verdana" w:hAnsi="Verdana"/>
          <w:sz w:val="20"/>
          <w:szCs w:val="20"/>
        </w:rPr>
        <w:t>the second category, reflects the act of translating, planning, or interpreting. When it comes to the relation with reading, it includes summarizing the text, classifying, or explaining the text.</w:t>
      </w:r>
    </w:p>
    <w:p w:rsidR="00476235" w:rsidRDefault="00476235" w:rsidP="00476235">
      <w:pPr>
        <w:pStyle w:val="NormalWeb"/>
        <w:spacing w:before="0" w:beforeAutospacing="0" w:after="0" w:afterAutospacing="0"/>
        <w:jc w:val="both"/>
        <w:rPr>
          <w:rFonts w:ascii="Verdana" w:hAnsi="Verdana"/>
          <w:b/>
          <w:i/>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t xml:space="preserve">Applying </w:t>
      </w:r>
      <w:r w:rsidRPr="00476235">
        <w:rPr>
          <w:rFonts w:ascii="Verdana" w:hAnsi="Verdana"/>
          <w:sz w:val="20"/>
          <w:szCs w:val="20"/>
        </w:rPr>
        <w:t>is defined as knowing when to apply acquired skills and why. At the same time it is the ability of applying known patterns to unknown situation. In reading skills it is the ability to apply, choose, dramatize, explain, or generalize the text.</w:t>
      </w:r>
    </w:p>
    <w:p w:rsidR="00476235" w:rsidRDefault="00476235" w:rsidP="00476235">
      <w:pPr>
        <w:pStyle w:val="NormalWeb"/>
        <w:spacing w:before="0" w:beforeAutospacing="0" w:after="0" w:afterAutospacing="0"/>
        <w:jc w:val="both"/>
        <w:rPr>
          <w:rFonts w:ascii="Verdana" w:hAnsi="Verdana"/>
          <w:b/>
          <w:i/>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t xml:space="preserve">Analyzing </w:t>
      </w:r>
      <w:r w:rsidRPr="00476235">
        <w:rPr>
          <w:rFonts w:ascii="Verdana" w:hAnsi="Verdana"/>
          <w:sz w:val="20"/>
          <w:szCs w:val="20"/>
        </w:rPr>
        <w:t>is the category where the text is broken into parts and where comparison can be made between the text and the backgorund knowledge of the reader. The following verbs apply to analyzing activities: analyze, categorize, classify, differentiate, distinguish, etc.</w:t>
      </w:r>
    </w:p>
    <w:p w:rsidR="00476235" w:rsidRDefault="00476235" w:rsidP="00476235">
      <w:pPr>
        <w:pStyle w:val="NormalWeb"/>
        <w:spacing w:before="0" w:beforeAutospacing="0" w:after="0" w:afterAutospacing="0"/>
        <w:jc w:val="both"/>
        <w:rPr>
          <w:rFonts w:ascii="Verdana" w:hAnsi="Verdana"/>
          <w:b/>
          <w:i/>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t xml:space="preserve">Evaluating, </w:t>
      </w:r>
      <w:r w:rsidRPr="00476235">
        <w:rPr>
          <w:rFonts w:ascii="Verdana" w:hAnsi="Verdana"/>
          <w:sz w:val="20"/>
          <w:szCs w:val="20"/>
        </w:rPr>
        <w:t>was placed at the top of the old version of Bloom’s taxonomy as “Evaluation”. However, in the revised version it is put into the fifth category “ to reflect their idea that creative thinking (design) is more complex than critical thinking (evaluation)” (Tankersley, 2005, p. 2).  In this category, students are expected to differentiate between essential knowledge and knowledge that is only interesting. As a result of this they will be able to evaluate necessary information.</w:t>
      </w:r>
    </w:p>
    <w:p w:rsidR="00476235" w:rsidRDefault="00476235" w:rsidP="00476235">
      <w:pPr>
        <w:pStyle w:val="NormalWeb"/>
        <w:spacing w:before="0" w:beforeAutospacing="0" w:after="0" w:afterAutospacing="0"/>
        <w:jc w:val="both"/>
        <w:rPr>
          <w:rFonts w:ascii="Verdana" w:hAnsi="Verdana"/>
          <w:b/>
          <w:i/>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b/>
          <w:i/>
          <w:sz w:val="20"/>
          <w:szCs w:val="20"/>
        </w:rPr>
        <w:t>Creating</w:t>
      </w:r>
      <w:r w:rsidRPr="00476235">
        <w:rPr>
          <w:rFonts w:ascii="Verdana" w:hAnsi="Verdana"/>
          <w:sz w:val="20"/>
          <w:szCs w:val="20"/>
        </w:rPr>
        <w:t>, the last category, also renamed and changed by Anderson and Krathwohl (2005), was named as Creating and it was upgraded into level six. Synthesizing means linking new information with the already existing prior knowledge and creating a new product of any kind.</w:t>
      </w:r>
    </w:p>
    <w:p w:rsidR="00476235" w:rsidRDefault="00476235" w:rsidP="00476235">
      <w:pPr>
        <w:pStyle w:val="NormalWeb"/>
        <w:spacing w:before="0" w:beforeAutospacing="0" w:after="0" w:afterAutospacing="0"/>
        <w:jc w:val="both"/>
        <w:rPr>
          <w:rFonts w:ascii="Verdana" w:hAnsi="Verdana"/>
          <w:sz w:val="20"/>
          <w:szCs w:val="20"/>
        </w:rPr>
      </w:pPr>
    </w:p>
    <w:p w:rsidR="00475DF3" w:rsidRPr="00476235" w:rsidRDefault="00475DF3" w:rsidP="00476235">
      <w:pPr>
        <w:pStyle w:val="NormalWeb"/>
        <w:spacing w:before="0" w:beforeAutospacing="0" w:after="0" w:afterAutospacing="0"/>
        <w:jc w:val="both"/>
        <w:rPr>
          <w:rFonts w:ascii="Verdana" w:hAnsi="Verdana"/>
          <w:sz w:val="20"/>
          <w:szCs w:val="20"/>
        </w:rPr>
      </w:pPr>
      <w:r w:rsidRPr="00476235">
        <w:rPr>
          <w:rFonts w:ascii="Verdana" w:hAnsi="Verdana"/>
          <w:sz w:val="20"/>
          <w:szCs w:val="20"/>
        </w:rPr>
        <w:t>In this study we regarded a critical reader as a person, who is able to deal with the higher order skills-applying, analyzing, evaluating, and creating- as well as with the lower order skills namely understanding and remebering.</w:t>
      </w:r>
    </w:p>
    <w:p w:rsidR="00475DF3" w:rsidRPr="00476235" w:rsidRDefault="00475DF3" w:rsidP="00476235">
      <w:pPr>
        <w:jc w:val="both"/>
        <w:rPr>
          <w:rFonts w:ascii="Verdana" w:hAnsi="Verdana"/>
          <w:sz w:val="20"/>
          <w:szCs w:val="20"/>
          <w:lang w:val="tr-TR"/>
        </w:rPr>
      </w:pPr>
    </w:p>
    <w:sectPr w:rsidR="00475DF3" w:rsidRPr="004762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DF3"/>
    <w:rsid w:val="00063549"/>
    <w:rsid w:val="003B1CCE"/>
    <w:rsid w:val="00475DF3"/>
    <w:rsid w:val="00476235"/>
    <w:rsid w:val="00543404"/>
    <w:rsid w:val="007B533C"/>
    <w:rsid w:val="007F376D"/>
    <w:rsid w:val="00836645"/>
    <w:rsid w:val="00AF078F"/>
    <w:rsid w:val="00C853B9"/>
    <w:rsid w:val="00CB2D8E"/>
    <w:rsid w:val="00CC2C28"/>
    <w:rsid w:val="00CD0CB3"/>
    <w:rsid w:val="00D11C8C"/>
    <w:rsid w:val="00D31B0E"/>
    <w:rsid w:val="00E46BDD"/>
    <w:rsid w:val="00EA42FC"/>
    <w:rsid w:val="00F553FE"/>
    <w:rsid w:val="00FA25ED"/>
    <w:rsid w:val="00FB0FEE"/>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DF3"/>
    <w:rPr>
      <w:sz w:val="24"/>
      <w:szCs w:val="24"/>
      <w:lang w:val="en-GB" w:eastAsia="tr-TR"/>
    </w:rPr>
  </w:style>
  <w:style w:type="character" w:default="1" w:styleId="DefaultParagraphFont">
    <w:name w:val="Default Paragraph Font"/>
    <w:link w:val="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475DF3"/>
    <w:pPr>
      <w:spacing w:before="100" w:beforeAutospacing="1" w:after="100" w:afterAutospacing="1"/>
    </w:pPr>
    <w:rPr>
      <w:lang w:val="tr-TR"/>
    </w:rPr>
  </w:style>
  <w:style w:type="character" w:styleId="Hyperlink">
    <w:name w:val="Hyperlink"/>
    <w:basedOn w:val="DefaultParagraphFont"/>
    <w:rsid w:val="00475DF3"/>
    <w:rPr>
      <w:color w:val="0000FF"/>
      <w:u w:val="single"/>
    </w:rPr>
  </w:style>
  <w:style w:type="paragraph" w:customStyle="1" w:styleId="CharCharChar">
    <w:name w:val=" Char Char Char"/>
    <w:basedOn w:val="Normal"/>
    <w:link w:val="DefaultParagraphFont"/>
    <w:rsid w:val="00476235"/>
    <w:pPr>
      <w:spacing w:after="160" w:line="240" w:lineRule="exact"/>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DF3"/>
    <w:rPr>
      <w:sz w:val="24"/>
      <w:szCs w:val="24"/>
      <w:lang w:val="en-GB" w:eastAsia="tr-TR"/>
    </w:rPr>
  </w:style>
  <w:style w:type="character" w:default="1" w:styleId="DefaultParagraphFont">
    <w:name w:val="Default Paragraph Font"/>
    <w:link w:val="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475DF3"/>
    <w:pPr>
      <w:spacing w:before="100" w:beforeAutospacing="1" w:after="100" w:afterAutospacing="1"/>
    </w:pPr>
    <w:rPr>
      <w:lang w:val="tr-TR"/>
    </w:rPr>
  </w:style>
  <w:style w:type="character" w:styleId="Hyperlink">
    <w:name w:val="Hyperlink"/>
    <w:basedOn w:val="DefaultParagraphFont"/>
    <w:rsid w:val="00475DF3"/>
    <w:rPr>
      <w:color w:val="0000FF"/>
      <w:u w:val="single"/>
    </w:rPr>
  </w:style>
  <w:style w:type="paragraph" w:customStyle="1" w:styleId="CharCharChar">
    <w:name w:val=" Char Char Char"/>
    <w:basedOn w:val="Normal"/>
    <w:link w:val="DefaultParagraphFont"/>
    <w:rsid w:val="00476235"/>
    <w:pPr>
      <w:spacing w:after="160" w:line="240" w:lineRule="exact"/>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eb.odu.edu/educ/llschult/blooms_taxonomy.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vt:lpstr>
    </vt:vector>
  </TitlesOfParts>
  <Company/>
  <LinksUpToDate>false</LinksUpToDate>
  <CharactersWithSpaces>4092</CharactersWithSpaces>
  <SharedDoc>false</SharedDoc>
  <HLinks>
    <vt:vector size="6" baseType="variant">
      <vt:variant>
        <vt:i4>2555989</vt:i4>
      </vt:variant>
      <vt:variant>
        <vt:i4>6</vt:i4>
      </vt:variant>
      <vt:variant>
        <vt:i4>0</vt:i4>
      </vt:variant>
      <vt:variant>
        <vt:i4>5</vt:i4>
      </vt:variant>
      <vt:variant>
        <vt:lpwstr>http://web.odu.edu/educ/llschult/blooms_taxonomy.htm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Nurcan KÖSE</dc:creator>
  <cp:lastModifiedBy>Krasi</cp:lastModifiedBy>
  <cp:revision>2</cp:revision>
  <dcterms:created xsi:type="dcterms:W3CDTF">2011-01-24T16:52:00Z</dcterms:created>
  <dcterms:modified xsi:type="dcterms:W3CDTF">2011-01-24T16:52:00Z</dcterms:modified>
</cp:coreProperties>
</file>